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2832" w14:textId="5A73768D" w:rsidR="00112592" w:rsidRDefault="00C3294E" w:rsidP="004A0C06">
      <w:pPr>
        <w:rPr>
          <w:rFonts w:cstheme="minorHAnsi"/>
          <w:sz w:val="28"/>
          <w:szCs w:val="28"/>
        </w:rPr>
      </w:pPr>
      <w:r>
        <w:rPr>
          <w:rFonts w:ascii="Lato" w:eastAsiaTheme="minorEastAsia" w:hAnsi="Lato"/>
          <w:b/>
          <w:bCs/>
          <w:noProof/>
          <w:sz w:val="28"/>
          <w:szCs w:val="28"/>
        </w:rPr>
        <w:drawing>
          <wp:anchor distT="0" distB="0" distL="114300" distR="114300" simplePos="0" relativeHeight="251622912" behindDoc="0" locked="0" layoutInCell="1" allowOverlap="1" wp14:anchorId="59E5DEA0" wp14:editId="658F47EE">
            <wp:simplePos x="0" y="0"/>
            <wp:positionH relativeFrom="margin">
              <wp:posOffset>533400</wp:posOffset>
            </wp:positionH>
            <wp:positionV relativeFrom="paragraph">
              <wp:posOffset>0</wp:posOffset>
            </wp:positionV>
            <wp:extent cx="5676900" cy="1718310"/>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76900" cy="1718310"/>
                    </a:xfrm>
                    <a:prstGeom prst="rect">
                      <a:avLst/>
                    </a:prstGeom>
                  </pic:spPr>
                </pic:pic>
              </a:graphicData>
            </a:graphic>
            <wp14:sizeRelH relativeFrom="page">
              <wp14:pctWidth>0</wp14:pctWidth>
            </wp14:sizeRelH>
            <wp14:sizeRelV relativeFrom="page">
              <wp14:pctHeight>0</wp14:pctHeight>
            </wp14:sizeRelV>
          </wp:anchor>
        </w:drawing>
      </w:r>
      <w:r w:rsidR="005C202C">
        <w:rPr>
          <w:rFonts w:cstheme="minorHAnsi"/>
          <w:noProof/>
          <w:sz w:val="28"/>
          <w:szCs w:val="28"/>
        </w:rPr>
        <mc:AlternateContent>
          <mc:Choice Requires="wps">
            <w:drawing>
              <wp:anchor distT="0" distB="0" distL="114300" distR="114300" simplePos="0" relativeHeight="251605504" behindDoc="0" locked="0" layoutInCell="1" allowOverlap="1" wp14:anchorId="549765C5" wp14:editId="6458BC97">
                <wp:simplePos x="0" y="0"/>
                <wp:positionH relativeFrom="margin">
                  <wp:align>center</wp:align>
                </wp:positionH>
                <wp:positionV relativeFrom="margin">
                  <wp:posOffset>200025</wp:posOffset>
                </wp:positionV>
                <wp:extent cx="2857500" cy="12382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1238250"/>
                        </a:xfrm>
                        <a:prstGeom prst="rect">
                          <a:avLst/>
                        </a:prstGeom>
                        <a:solidFill>
                          <a:schemeClr val="bg1">
                            <a:lumMod val="85000"/>
                          </a:schemeClr>
                        </a:solidFill>
                        <a:ln>
                          <a:noFill/>
                        </a:ln>
                      </wps:spPr>
                      <wps:style>
                        <a:lnRef idx="2">
                          <a:schemeClr val="accent1"/>
                        </a:lnRef>
                        <a:fillRef idx="1">
                          <a:schemeClr val="lt1"/>
                        </a:fillRef>
                        <a:effectRef idx="0">
                          <a:schemeClr val="accent1"/>
                        </a:effectRef>
                        <a:fontRef idx="minor">
                          <a:schemeClr val="dk1"/>
                        </a:fontRef>
                      </wps:style>
                      <wps:txbx>
                        <w:txbxContent>
                          <w:p w14:paraId="145015DC" w14:textId="4C8F786F" w:rsidR="005C202C" w:rsidRPr="00B96118" w:rsidRDefault="00F14137" w:rsidP="005C202C">
                            <w:pPr>
                              <w:jc w:val="center"/>
                              <w:rPr>
                                <w:rFonts w:ascii="Lato" w:hAnsi="Lato"/>
                                <w:b/>
                                <w:bCs/>
                                <w:sz w:val="30"/>
                                <w:szCs w:val="30"/>
                              </w:rPr>
                            </w:pPr>
                            <w:r w:rsidRPr="00B96118">
                              <w:rPr>
                                <w:rFonts w:ascii="Lato" w:hAnsi="Lato"/>
                                <w:b/>
                                <w:bCs/>
                                <w:sz w:val="30"/>
                                <w:szCs w:val="30"/>
                              </w:rPr>
                              <w:t>INSERT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9765C5" id="_x0000_t202" coordsize="21600,21600" o:spt="202" path="m,l,21600r21600,l21600,xe">
                <v:stroke joinstyle="miter"/>
                <v:path gradientshapeok="t" o:connecttype="rect"/>
              </v:shapetype>
              <v:shape id="Text Box 3" o:spid="_x0000_s1026" type="#_x0000_t202" style="position:absolute;margin-left:0;margin-top:15.75pt;width:225pt;height:97.5pt;z-index:25160550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" fillcolor="#d8d8d8 [2732]" stroked="f" strokeweight="1pt">
                <v:textbox>
                  <w:txbxContent>
                    <w:p w14:paraId="145015DC" w14:textId="4C8F786F" w:rsidR="005C202C" w:rsidRPr="00B96118" w:rsidRDefault="00F14137" w:rsidP="005C202C">
                      <w:pPr>
                        <w:jc w:val="center"/>
                        <w:rPr>
                          <w:rFonts w:ascii="Lato" w:hAnsi="Lato"/>
                          <w:b/>
                          <w:bCs/>
                          <w:sz w:val="30"/>
                          <w:szCs w:val="30"/>
                        </w:rPr>
                      </w:pPr>
                      <w:r w:rsidRPr="00B96118">
                        <w:rPr>
                          <w:rFonts w:ascii="Lato" w:hAnsi="Lato"/>
                          <w:b/>
                          <w:bCs/>
                          <w:sz w:val="30"/>
                          <w:szCs w:val="30"/>
                        </w:rPr>
                        <w:t>INSERT LOGO HERE</w:t>
                      </w:r>
                    </w:p>
                  </w:txbxContent>
                </v:textbox>
                <w10:wrap type="square" anchorx="margin" anchory="margin"/>
              </v:shape>
            </w:pict>
          </mc:Fallback>
        </mc:AlternateContent>
      </w:r>
    </w:p>
    <w:p w14:paraId="2EBE1D30" w14:textId="77777777" w:rsidR="00716DEA" w:rsidRDefault="00716DEA" w:rsidP="003C5309">
      <w:pPr>
        <w:spacing w:before="240" w:after="0"/>
        <w:ind w:left="2160" w:firstLine="720"/>
        <w:rPr>
          <w:rFonts w:ascii="Lato" w:hAnsi="Lato" w:cstheme="minorHAnsi"/>
          <w:b/>
          <w:sz w:val="24"/>
          <w:szCs w:val="24"/>
        </w:rPr>
      </w:pPr>
    </w:p>
    <w:p w14:paraId="5DC95415" w14:textId="44C7596A" w:rsidR="00C55090" w:rsidRDefault="00F14137" w:rsidP="003C5309">
      <w:pPr>
        <w:spacing w:before="240" w:after="0"/>
        <w:ind w:left="2160" w:firstLine="720"/>
        <w:rPr>
          <w:rFonts w:ascii="Lato" w:hAnsi="Lato" w:cstheme="minorHAnsi"/>
          <w:b/>
          <w:sz w:val="24"/>
          <w:szCs w:val="24"/>
        </w:rPr>
      </w:pPr>
      <w:r w:rsidRPr="00AF36CF">
        <w:rPr>
          <w:rFonts w:ascii="Lato" w:hAnsi="Lato" w:cstheme="minorHAnsi"/>
          <w:b/>
          <w:sz w:val="24"/>
          <w:szCs w:val="24"/>
        </w:rPr>
        <w:t>WHAT IS A COMMUNITY FOUNDATION?</w:t>
      </w:r>
    </w:p>
    <w:p w14:paraId="0B3A50AB" w14:textId="5E88360E" w:rsidR="00AF36CF" w:rsidRPr="00C71ACB" w:rsidRDefault="004A4C72" w:rsidP="00AF36CF">
      <w:pPr>
        <w:rPr>
          <w:rFonts w:ascii="Lato" w:hAnsi="Lato"/>
        </w:rPr>
      </w:pPr>
      <w:r w:rsidRPr="004A4C72">
        <w:rPr>
          <w:rFonts w:ascii="Lato" w:hAnsi="Lato"/>
        </w:rPr>
        <w:t>A community foundation can be defined simply as a grantmaking public charity dedicated to improving the lives of people in a defined local geographic. Increasingly, however, larger community foundations are funding global initiatives, in addition to programs in their geographic region.</w:t>
      </w:r>
    </w:p>
    <w:p w14:paraId="49208B9D" w14:textId="4319077B" w:rsidR="00AF36CF" w:rsidRPr="00AF36CF" w:rsidRDefault="00AF36CF" w:rsidP="00AF36CF">
      <w:pPr>
        <w:spacing w:before="160" w:after="0"/>
        <w:ind w:left="2160" w:firstLine="720"/>
        <w:rPr>
          <w:rFonts w:ascii="Lato" w:hAnsi="Lato" w:cstheme="minorHAnsi"/>
          <w:b/>
          <w:sz w:val="24"/>
          <w:szCs w:val="24"/>
        </w:rPr>
      </w:pPr>
      <w:r w:rsidRPr="00AF36CF">
        <w:rPr>
          <w:rFonts w:ascii="Lato" w:hAnsi="Lato" w:cstheme="minorHAnsi"/>
          <w:b/>
          <w:sz w:val="24"/>
          <w:szCs w:val="24"/>
        </w:rPr>
        <w:t>WHAT IS COMMUNITY FOUNDATION</w:t>
      </w:r>
      <w:r>
        <w:rPr>
          <w:rFonts w:ascii="Lato" w:hAnsi="Lato" w:cstheme="minorHAnsi"/>
          <w:b/>
          <w:sz w:val="24"/>
          <w:szCs w:val="24"/>
        </w:rPr>
        <w:t xml:space="preserve"> WEEK</w:t>
      </w:r>
      <w:r w:rsidRPr="00AF36CF">
        <w:rPr>
          <w:rFonts w:ascii="Lato" w:hAnsi="Lato" w:cstheme="minorHAnsi"/>
          <w:b/>
          <w:sz w:val="24"/>
          <w:szCs w:val="24"/>
        </w:rPr>
        <w:t>?</w:t>
      </w:r>
    </w:p>
    <w:p w14:paraId="5ED8DB54" w14:textId="4123A6B7" w:rsidR="009C36BF" w:rsidRPr="00C71ACB" w:rsidRDefault="003C5309" w:rsidP="00FA1316">
      <w:pPr>
        <w:rPr>
          <w:rFonts w:ascii="Lato" w:hAnsi="Lato"/>
        </w:rPr>
      </w:pPr>
      <w:r w:rsidRPr="00C71ACB">
        <w:rPr>
          <w:rFonts w:ascii="Lato" w:hAnsi="Lato" w:cstheme="minorHAnsi"/>
          <w:b/>
          <w:bCs/>
          <w:noProof/>
          <w:color w:val="CC4F07" w:themeColor="accent2" w:themeShade="BF"/>
        </w:rPr>
        <mc:AlternateContent>
          <mc:Choice Requires="wps">
            <w:drawing>
              <wp:anchor distT="45720" distB="45720" distL="114300" distR="114300" simplePos="0" relativeHeight="251706880" behindDoc="0" locked="0" layoutInCell="1" allowOverlap="1" wp14:anchorId="02102F91" wp14:editId="0FA24090">
                <wp:simplePos x="0" y="0"/>
                <wp:positionH relativeFrom="page">
                  <wp:posOffset>3911600</wp:posOffset>
                </wp:positionH>
                <wp:positionV relativeFrom="paragraph">
                  <wp:posOffset>824865</wp:posOffset>
                </wp:positionV>
                <wp:extent cx="3530600" cy="4635500"/>
                <wp:effectExtent l="19050" t="1905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4635500"/>
                        </a:xfrm>
                        <a:prstGeom prst="rect">
                          <a:avLst/>
                        </a:prstGeom>
                        <a:solidFill>
                          <a:srgbClr val="FFFFFF"/>
                        </a:solidFill>
                        <a:ln w="28575">
                          <a:solidFill>
                            <a:schemeClr val="accent1"/>
                          </a:solidFill>
                          <a:miter lim="800000"/>
                          <a:headEnd/>
                          <a:tailEnd/>
                        </a:ln>
                      </wps:spPr>
                      <wps:txbx>
                        <w:txbxContent>
                          <w:p w14:paraId="49F415A1" w14:textId="77777777" w:rsidR="00470C0D" w:rsidRPr="00BC66FC" w:rsidRDefault="00470C0D" w:rsidP="00470C0D">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 xml:space="preserve">COMMUNITY FOUNDATIONS </w:t>
                            </w:r>
                          </w:p>
                          <w:p w14:paraId="3DCB163D" w14:textId="023BC4A8" w:rsidR="00470C0D" w:rsidRPr="00BC66FC" w:rsidRDefault="00470C0D" w:rsidP="00470C0D">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“DID YOU KNOW”</w:t>
                            </w:r>
                          </w:p>
                          <w:p w14:paraId="332101B2" w14:textId="77777777" w:rsidR="00470C0D" w:rsidRPr="00F21D8D" w:rsidRDefault="00470C0D" w:rsidP="00470C0D">
                            <w:pPr>
                              <w:spacing w:after="0" w:line="240" w:lineRule="auto"/>
                              <w:jc w:val="center"/>
                              <w:rPr>
                                <w:rFonts w:ascii="Lato" w:hAnsi="Lato" w:cstheme="minorHAnsi"/>
                                <w:b/>
                                <w:bCs/>
                                <w:color w:val="CC4F07" w:themeColor="accent2" w:themeShade="BF"/>
                                <w:sz w:val="28"/>
                                <w:szCs w:val="28"/>
                              </w:rPr>
                            </w:pPr>
                          </w:p>
                          <w:p w14:paraId="15ADD891" w14:textId="55F66C9F" w:rsidR="00E95616" w:rsidRPr="001771CE" w:rsidRDefault="00E95616" w:rsidP="00E95616">
                            <w:pPr>
                              <w:pStyle w:val="ListParagraph"/>
                              <w:numPr>
                                <w:ilvl w:val="0"/>
                                <w:numId w:val="4"/>
                              </w:numPr>
                              <w:spacing w:before="160" w:after="60"/>
                              <w:rPr>
                                <w:rFonts w:eastAsiaTheme="minorEastAsia"/>
                                <w:bCs/>
                              </w:rPr>
                            </w:pPr>
                            <w:r w:rsidRPr="001771CE">
                              <w:t>Many community foundations throughout the country were first responders during the COVID-19 pandemic through the creation of Response Funds. These funds were established to tackle the immediate needs of local organizations and communities that the crisis had impacted</w:t>
                            </w:r>
                            <w:r w:rsidR="00EE4347" w:rsidRPr="001771CE">
                              <w:t>.</w:t>
                            </w:r>
                          </w:p>
                          <w:p w14:paraId="77F90B95" w14:textId="5F725B5B" w:rsidR="002F66AF" w:rsidRPr="001771CE" w:rsidRDefault="002F66AF" w:rsidP="002F66AF">
                            <w:pPr>
                              <w:pStyle w:val="ListParagraph"/>
                              <w:numPr>
                                <w:ilvl w:val="0"/>
                                <w:numId w:val="4"/>
                              </w:numPr>
                              <w:spacing w:before="160" w:after="60"/>
                              <w:rPr>
                                <w:rFonts w:eastAsiaTheme="minorEastAsia"/>
                                <w:bCs/>
                              </w:rPr>
                            </w:pPr>
                            <w:r w:rsidRPr="001771CE">
                              <w:rPr>
                                <w:rFonts w:eastAsiaTheme="minorEastAsia"/>
                                <w:bCs/>
                              </w:rPr>
                              <w:t>Community foundations</w:t>
                            </w:r>
                            <w:r w:rsidR="002A3AD2">
                              <w:rPr>
                                <w:rFonts w:eastAsiaTheme="minorEastAsia"/>
                                <w:bCs/>
                              </w:rPr>
                              <w:t xml:space="preserve"> play a key </w:t>
                            </w:r>
                            <w:r w:rsidRPr="001771CE">
                              <w:rPr>
                                <w:rFonts w:eastAsiaTheme="minorEastAsia"/>
                                <w:bCs/>
                              </w:rPr>
                              <w:t>role in creating more just and equitable communities</w:t>
                            </w:r>
                            <w:r w:rsidR="006447BE">
                              <w:rPr>
                                <w:rFonts w:eastAsiaTheme="minorEastAsia"/>
                                <w:bCs/>
                              </w:rPr>
                              <w:t xml:space="preserve">. This includes </w:t>
                            </w:r>
                            <w:r w:rsidRPr="001771CE">
                              <w:rPr>
                                <w:rFonts w:eastAsiaTheme="minorEastAsia"/>
                                <w:bCs/>
                              </w:rPr>
                              <w:t xml:space="preserve">establishing and supporting grantmaking, advocacy and special initiatives designed to </w:t>
                            </w:r>
                            <w:r w:rsidR="00B721DE">
                              <w:rPr>
                                <w:rFonts w:eastAsiaTheme="minorEastAsia"/>
                                <w:bCs/>
                              </w:rPr>
                              <w:t xml:space="preserve">address inequities and </w:t>
                            </w:r>
                            <w:r w:rsidRPr="001771CE">
                              <w:rPr>
                                <w:rFonts w:eastAsiaTheme="minorEastAsia"/>
                                <w:bCs/>
                              </w:rPr>
                              <w:t xml:space="preserve">increase </w:t>
                            </w:r>
                            <w:r w:rsidR="00B721DE">
                              <w:rPr>
                                <w:rFonts w:eastAsiaTheme="minorEastAsia"/>
                                <w:bCs/>
                              </w:rPr>
                              <w:t>opportunities for marginalized populations to thrive and reach their full potential</w:t>
                            </w:r>
                            <w:r w:rsidR="00721ADA">
                              <w:rPr>
                                <w:rFonts w:eastAsiaTheme="minorEastAsia"/>
                                <w:bCs/>
                              </w:rPr>
                              <w:t xml:space="preserve">. </w:t>
                            </w:r>
                            <w:r w:rsidRPr="001771CE">
                              <w:rPr>
                                <w:rFonts w:eastAsiaTheme="minorEastAsia"/>
                                <w:bCs/>
                              </w:rPr>
                              <w:t xml:space="preserve"> </w:t>
                            </w:r>
                          </w:p>
                          <w:p w14:paraId="32511DE5" w14:textId="283E549B" w:rsidR="00470C0D" w:rsidRPr="001771CE" w:rsidRDefault="002F66AF" w:rsidP="002F66AF">
                            <w:pPr>
                              <w:pStyle w:val="ListParagraph"/>
                              <w:numPr>
                                <w:ilvl w:val="0"/>
                                <w:numId w:val="4"/>
                              </w:numPr>
                              <w:spacing w:before="160" w:after="60"/>
                            </w:pPr>
                            <w:r w:rsidRPr="001771CE">
                              <w:rPr>
                                <w:rFonts w:eastAsiaTheme="minorEastAsia"/>
                                <w:bCs/>
                              </w:rPr>
                              <w:t>Beyond grantmaking, community foundations also play important roles as community leaders with deep local relationships, knowledge of local challenges and opportunities, and the ability to advocate for policies that improve the quality of life in their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02F91" id="Text Box 2" o:spid="_x0000_s1027" type="#_x0000_t202" style="position:absolute;margin-left:308pt;margin-top:64.95pt;width:278pt;height:365pt;z-index:251706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" strokecolor="#0b2b48 [3204]" strokeweight="2.25pt">
                <v:textbox>
                  <w:txbxContent>
                    <w:p w14:paraId="49F415A1" w14:textId="77777777" w:rsidR="00470C0D" w:rsidRPr="00BC66FC" w:rsidRDefault="00470C0D" w:rsidP="00470C0D">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 xml:space="preserve">COMMUNITY FOUNDATIONS </w:t>
                      </w:r>
                    </w:p>
                    <w:p w14:paraId="3DCB163D" w14:textId="023BC4A8" w:rsidR="00470C0D" w:rsidRPr="00BC66FC" w:rsidRDefault="00470C0D" w:rsidP="00470C0D">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“DID YOU KNOW”</w:t>
                      </w:r>
                    </w:p>
                    <w:p w14:paraId="332101B2" w14:textId="77777777" w:rsidR="00470C0D" w:rsidRPr="00F21D8D" w:rsidRDefault="00470C0D" w:rsidP="00470C0D">
                      <w:pPr>
                        <w:spacing w:after="0" w:line="240" w:lineRule="auto"/>
                        <w:jc w:val="center"/>
                        <w:rPr>
                          <w:rFonts w:ascii="Lato" w:hAnsi="Lato" w:cstheme="minorHAnsi"/>
                          <w:b/>
                          <w:bCs/>
                          <w:color w:val="CC4F07" w:themeColor="accent2" w:themeShade="BF"/>
                          <w:sz w:val="28"/>
                          <w:szCs w:val="28"/>
                        </w:rPr>
                      </w:pPr>
                    </w:p>
                    <w:p w14:paraId="15ADD891" w14:textId="55F66C9F" w:rsidR="00E95616" w:rsidRPr="001771CE" w:rsidRDefault="00E95616" w:rsidP="00E95616">
                      <w:pPr>
                        <w:pStyle w:val="ListParagraph"/>
                        <w:numPr>
                          <w:ilvl w:val="0"/>
                          <w:numId w:val="4"/>
                        </w:numPr>
                        <w:spacing w:before="160" w:after="60"/>
                        <w:rPr>
                          <w:rFonts w:eastAsiaTheme="minorEastAsia"/>
                          <w:bCs/>
                        </w:rPr>
                      </w:pPr>
                      <w:r w:rsidRPr="001771CE">
                        <w:t>Many community foundations throughout the country were first responders during the COVID-19 pandemic through the creation of Response Funds. These funds were established to tackle the immediate needs of local organizations and communities that the crisis had impacted</w:t>
                      </w:r>
                      <w:r w:rsidR="00EE4347" w:rsidRPr="001771CE">
                        <w:t>.</w:t>
                      </w:r>
                    </w:p>
                    <w:p w14:paraId="77F90B95" w14:textId="5F725B5B" w:rsidR="002F66AF" w:rsidRPr="001771CE" w:rsidRDefault="002F66AF" w:rsidP="002F66AF">
                      <w:pPr>
                        <w:pStyle w:val="ListParagraph"/>
                        <w:numPr>
                          <w:ilvl w:val="0"/>
                          <w:numId w:val="4"/>
                        </w:numPr>
                        <w:spacing w:before="160" w:after="60"/>
                        <w:rPr>
                          <w:rFonts w:eastAsiaTheme="minorEastAsia"/>
                          <w:bCs/>
                        </w:rPr>
                      </w:pPr>
                      <w:r w:rsidRPr="001771CE">
                        <w:rPr>
                          <w:rFonts w:eastAsiaTheme="minorEastAsia"/>
                          <w:bCs/>
                        </w:rPr>
                        <w:t>Community foundations</w:t>
                      </w:r>
                      <w:r w:rsidR="002A3AD2">
                        <w:rPr>
                          <w:rFonts w:eastAsiaTheme="minorEastAsia"/>
                          <w:bCs/>
                        </w:rPr>
                        <w:t xml:space="preserve"> play a key </w:t>
                      </w:r>
                      <w:r w:rsidRPr="001771CE">
                        <w:rPr>
                          <w:rFonts w:eastAsiaTheme="minorEastAsia"/>
                          <w:bCs/>
                        </w:rPr>
                        <w:t>role in creating more just and equitable communities</w:t>
                      </w:r>
                      <w:r w:rsidR="006447BE">
                        <w:rPr>
                          <w:rFonts w:eastAsiaTheme="minorEastAsia"/>
                          <w:bCs/>
                        </w:rPr>
                        <w:t xml:space="preserve">. This includes </w:t>
                      </w:r>
                      <w:r w:rsidRPr="001771CE">
                        <w:rPr>
                          <w:rFonts w:eastAsiaTheme="minorEastAsia"/>
                          <w:bCs/>
                        </w:rPr>
                        <w:t xml:space="preserve">establishing and supporting grantmaking, advocacy and special initiatives designed to </w:t>
                      </w:r>
                      <w:r w:rsidR="00B721DE">
                        <w:rPr>
                          <w:rFonts w:eastAsiaTheme="minorEastAsia"/>
                          <w:bCs/>
                        </w:rPr>
                        <w:t xml:space="preserve">address inequities and </w:t>
                      </w:r>
                      <w:r w:rsidRPr="001771CE">
                        <w:rPr>
                          <w:rFonts w:eastAsiaTheme="minorEastAsia"/>
                          <w:bCs/>
                        </w:rPr>
                        <w:t xml:space="preserve">increase </w:t>
                      </w:r>
                      <w:r w:rsidR="00B721DE">
                        <w:rPr>
                          <w:rFonts w:eastAsiaTheme="minorEastAsia"/>
                          <w:bCs/>
                        </w:rPr>
                        <w:t>opportunities for marginalized populations to thrive and reach their full potential</w:t>
                      </w:r>
                      <w:r w:rsidR="00721ADA">
                        <w:rPr>
                          <w:rFonts w:eastAsiaTheme="minorEastAsia"/>
                          <w:bCs/>
                        </w:rPr>
                        <w:t xml:space="preserve">. </w:t>
                      </w:r>
                      <w:r w:rsidRPr="001771CE">
                        <w:rPr>
                          <w:rFonts w:eastAsiaTheme="minorEastAsia"/>
                          <w:bCs/>
                        </w:rPr>
                        <w:t xml:space="preserve"> </w:t>
                      </w:r>
                    </w:p>
                    <w:p w14:paraId="32511DE5" w14:textId="283E549B" w:rsidR="00470C0D" w:rsidRPr="001771CE" w:rsidRDefault="002F66AF" w:rsidP="002F66AF">
                      <w:pPr>
                        <w:pStyle w:val="ListParagraph"/>
                        <w:numPr>
                          <w:ilvl w:val="0"/>
                          <w:numId w:val="4"/>
                        </w:numPr>
                        <w:spacing w:before="160" w:after="60"/>
                      </w:pPr>
                      <w:r w:rsidRPr="001771CE">
                        <w:rPr>
                          <w:rFonts w:eastAsiaTheme="minorEastAsia"/>
                          <w:bCs/>
                        </w:rPr>
                        <w:t>Beyond grantmaking, community foundations also play important roles as community leaders with deep local relationships, knowledge of local challenges and opportunities, and the ability to advocate for policies that improve the quality of life in their communities.</w:t>
                      </w:r>
                    </w:p>
                  </w:txbxContent>
                </v:textbox>
                <w10:wrap type="square" anchorx="page"/>
              </v:shape>
            </w:pict>
          </mc:Fallback>
        </mc:AlternateContent>
      </w:r>
      <w:r w:rsidRPr="00C71ACB">
        <w:rPr>
          <w:rFonts w:ascii="Lato" w:hAnsi="Lato" w:cstheme="minorHAnsi"/>
          <w:b/>
          <w:bCs/>
          <w:noProof/>
          <w:color w:val="CC4F07" w:themeColor="accent2" w:themeShade="BF"/>
        </w:rPr>
        <mc:AlternateContent>
          <mc:Choice Requires="wps">
            <w:drawing>
              <wp:anchor distT="45720" distB="45720" distL="114300" distR="114300" simplePos="0" relativeHeight="251663872" behindDoc="0" locked="0" layoutInCell="1" allowOverlap="1" wp14:anchorId="1224459C" wp14:editId="2BC31DBD">
                <wp:simplePos x="0" y="0"/>
                <wp:positionH relativeFrom="page">
                  <wp:posOffset>311150</wp:posOffset>
                </wp:positionH>
                <wp:positionV relativeFrom="paragraph">
                  <wp:posOffset>818515</wp:posOffset>
                </wp:positionV>
                <wp:extent cx="3530600" cy="464185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4641850"/>
                        </a:xfrm>
                        <a:prstGeom prst="rect">
                          <a:avLst/>
                        </a:prstGeom>
                        <a:solidFill>
                          <a:srgbClr val="FFFFFF"/>
                        </a:solidFill>
                        <a:ln w="28575">
                          <a:solidFill>
                            <a:schemeClr val="accent1"/>
                          </a:solidFill>
                          <a:miter lim="800000"/>
                          <a:headEnd/>
                          <a:tailEnd/>
                        </a:ln>
                      </wps:spPr>
                      <wps:txbx>
                        <w:txbxContent>
                          <w:p w14:paraId="7F14C74A" w14:textId="77777777" w:rsidR="000D6C0F" w:rsidRPr="00BC66FC" w:rsidRDefault="000D6C0F" w:rsidP="000D6C0F">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FACTS ABOUT</w:t>
                            </w:r>
                          </w:p>
                          <w:p w14:paraId="5B2E5FB0" w14:textId="2F6A47EF" w:rsidR="000D6C0F" w:rsidRPr="00BC66FC" w:rsidRDefault="000D6C0F" w:rsidP="000D6C0F">
                            <w:pPr>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COMMUNITY FOUNDATIONS</w:t>
                            </w:r>
                          </w:p>
                          <w:p w14:paraId="1B565825" w14:textId="77777777" w:rsidR="000D6C0F" w:rsidRPr="00F21D8D" w:rsidRDefault="000D6C0F" w:rsidP="000D6C0F">
                            <w:pPr>
                              <w:spacing w:after="0" w:line="240" w:lineRule="auto"/>
                              <w:jc w:val="center"/>
                              <w:rPr>
                                <w:rFonts w:ascii="Lato" w:hAnsi="Lato" w:cstheme="minorHAnsi"/>
                                <w:b/>
                                <w:bCs/>
                                <w:color w:val="CC4F07" w:themeColor="accent2" w:themeShade="BF"/>
                                <w:sz w:val="28"/>
                                <w:szCs w:val="28"/>
                              </w:rPr>
                            </w:pPr>
                          </w:p>
                          <w:p w14:paraId="1D19BBE1" w14:textId="77777777" w:rsidR="000D6C0F" w:rsidRPr="001771CE" w:rsidRDefault="000D6C0F" w:rsidP="000D6C0F">
                            <w:pPr>
                              <w:pStyle w:val="ListParagraph"/>
                              <w:numPr>
                                <w:ilvl w:val="0"/>
                                <w:numId w:val="4"/>
                              </w:numPr>
                              <w:rPr>
                                <w:b/>
                              </w:rPr>
                            </w:pPr>
                            <w:r w:rsidRPr="001771CE">
                              <w:t>The first community foundation was created in 1914 in Cleveland, Ohio, and operates now as the Cleveland Foundation.</w:t>
                            </w:r>
                          </w:p>
                          <w:p w14:paraId="7BB4ED56" w14:textId="7D500124" w:rsidR="00DF00BF" w:rsidRPr="001771CE" w:rsidRDefault="00DF00BF" w:rsidP="00DF00BF">
                            <w:pPr>
                              <w:pStyle w:val="ListParagraph"/>
                              <w:numPr>
                                <w:ilvl w:val="0"/>
                                <w:numId w:val="4"/>
                              </w:numPr>
                              <w:spacing w:before="160" w:after="60"/>
                              <w:rPr>
                                <w:rFonts w:eastAsiaTheme="minorEastAsia"/>
                                <w:bCs/>
                              </w:rPr>
                            </w:pPr>
                            <w:r w:rsidRPr="001771CE">
                              <w:rPr>
                                <w:rFonts w:eastAsiaTheme="minorEastAsia"/>
                                <w:bCs/>
                              </w:rPr>
                              <w:t xml:space="preserve">Community foundations play a key role in identifying and solving community problems. Currently, more than </w:t>
                            </w:r>
                            <w:r w:rsidR="00820073">
                              <w:rPr>
                                <w:rFonts w:eastAsiaTheme="minorEastAsia"/>
                                <w:bCs/>
                              </w:rPr>
                              <w:t>900</w:t>
                            </w:r>
                            <w:r w:rsidRPr="001771CE">
                              <w:rPr>
                                <w:rFonts w:eastAsiaTheme="minorEastAsia"/>
                                <w:bCs/>
                              </w:rPr>
                              <w:t xml:space="preserve"> community foundations operate in urban and rural areas in every state in the United States.</w:t>
                            </w:r>
                          </w:p>
                          <w:p w14:paraId="7F497183" w14:textId="30F3FD3A" w:rsidR="000D6C0F" w:rsidRPr="001771CE" w:rsidRDefault="000D6C0F" w:rsidP="000D6C0F">
                            <w:pPr>
                              <w:pStyle w:val="ListParagraph"/>
                              <w:numPr>
                                <w:ilvl w:val="0"/>
                                <w:numId w:val="4"/>
                              </w:numPr>
                              <w:spacing w:before="160" w:after="60"/>
                              <w:rPr>
                                <w:rFonts w:eastAsiaTheme="minorEastAsia"/>
                                <w:b/>
                              </w:rPr>
                            </w:pPr>
                            <w:r w:rsidRPr="001771CE">
                              <w:rPr>
                                <w:rFonts w:eastAsiaTheme="minorEastAsia"/>
                              </w:rPr>
                              <w:t>Every continent but Antarctica has a community foundation</w:t>
                            </w:r>
                            <w:r w:rsidR="00412004">
                              <w:rPr>
                                <w:rFonts w:eastAsiaTheme="minorEastAsia"/>
                              </w:rPr>
                              <w:t xml:space="preserve">. It’s </w:t>
                            </w:r>
                            <w:r w:rsidRPr="001771CE">
                              <w:rPr>
                                <w:rFonts w:eastAsiaTheme="minorEastAsia"/>
                              </w:rPr>
                              <w:t>estimated that there are at least 1,200 community foundations outside of the United States and Canada.</w:t>
                            </w:r>
                          </w:p>
                          <w:p w14:paraId="1F3B0CD8" w14:textId="31B44ACE" w:rsidR="00A227BE" w:rsidRPr="001771CE" w:rsidRDefault="00A227BE" w:rsidP="000D6C0F">
                            <w:pPr>
                              <w:pStyle w:val="ListParagraph"/>
                              <w:numPr>
                                <w:ilvl w:val="0"/>
                                <w:numId w:val="4"/>
                              </w:numPr>
                              <w:spacing w:before="160" w:after="60"/>
                              <w:rPr>
                                <w:rFonts w:eastAsiaTheme="minorEastAsia"/>
                                <w:bCs/>
                              </w:rPr>
                            </w:pPr>
                            <w:r w:rsidRPr="001771CE">
                              <w:rPr>
                                <w:rFonts w:eastAsiaTheme="minorEastAsia"/>
                                <w:bCs/>
                              </w:rPr>
                              <w:t>According to the National Philanthropic Trust's 202</w:t>
                            </w:r>
                            <w:r w:rsidR="00586643">
                              <w:rPr>
                                <w:rFonts w:eastAsiaTheme="minorEastAsia"/>
                                <w:bCs/>
                              </w:rPr>
                              <w:t>2</w:t>
                            </w:r>
                            <w:r w:rsidRPr="001771CE">
                              <w:rPr>
                                <w:rFonts w:eastAsiaTheme="minorEastAsia"/>
                                <w:bCs/>
                              </w:rPr>
                              <w:t xml:space="preserve"> Donor-Advised Fund Report, grantmaking from DAFs to qualified charities totaled more than $</w:t>
                            </w:r>
                            <w:r w:rsidR="00791E5F">
                              <w:rPr>
                                <w:rFonts w:eastAsiaTheme="minorEastAsia"/>
                                <w:bCs/>
                              </w:rPr>
                              <w:t>45.74</w:t>
                            </w:r>
                            <w:r w:rsidRPr="001771CE">
                              <w:rPr>
                                <w:rFonts w:eastAsiaTheme="minorEastAsia"/>
                                <w:bCs/>
                              </w:rPr>
                              <w:t xml:space="preserve"> billion in 20</w:t>
                            </w:r>
                            <w:r w:rsidR="00791E5F">
                              <w:rPr>
                                <w:rFonts w:eastAsiaTheme="minorEastAsia"/>
                                <w:bCs/>
                              </w:rPr>
                              <w:t>21</w:t>
                            </w:r>
                            <w:r w:rsidRPr="001771CE">
                              <w:rPr>
                                <w:rFonts w:eastAsiaTheme="minorEastAsia"/>
                                <w:bCs/>
                              </w:rPr>
                              <w:t xml:space="preserve">, </w:t>
                            </w:r>
                            <w:r w:rsidR="00D400F4">
                              <w:rPr>
                                <w:rFonts w:eastAsiaTheme="minorEastAsia"/>
                                <w:bCs/>
                              </w:rPr>
                              <w:t>and the DAF</w:t>
                            </w:r>
                            <w:r w:rsidR="00753448">
                              <w:rPr>
                                <w:rFonts w:eastAsiaTheme="minorEastAsia"/>
                                <w:bCs/>
                              </w:rPr>
                              <w:t xml:space="preserve"> grant payout rate was the highest on record (27.3%)</w:t>
                            </w:r>
                            <w:r w:rsidR="006821EB">
                              <w:rPr>
                                <w:rFonts w:eastAsiaTheme="minorEastAsia"/>
                                <w:bCs/>
                              </w:rPr>
                              <w:t xml:space="preserve"> in 2021</w:t>
                            </w:r>
                            <w:r w:rsidR="00D07BCA" w:rsidRPr="00D07BCA">
                              <w:rPr>
                                <w:rFonts w:ascii="Lato" w:hAnsi="Lato"/>
                                <w:shd w:val="clear" w:color="auto" w:fill="FFFFFF"/>
                                <w:vertAlign w:val="superscript"/>
                              </w:rPr>
                              <w:t xml:space="preserve"> 1</w:t>
                            </w:r>
                          </w:p>
                          <w:p w14:paraId="57843EA3" w14:textId="542CDCEA" w:rsidR="00470C0D" w:rsidRPr="001771CE" w:rsidRDefault="00470C0D" w:rsidP="000D6C0F">
                            <w:pPr>
                              <w:pStyle w:val="ListParagraph"/>
                              <w:numPr>
                                <w:ilvl w:val="0"/>
                                <w:numId w:val="4"/>
                              </w:numPr>
                              <w:spacing w:before="160" w:after="60"/>
                              <w:rPr>
                                <w:rFonts w:eastAsiaTheme="minorEastAsia"/>
                                <w:bCs/>
                              </w:rPr>
                            </w:pPr>
                            <w:r w:rsidRPr="001771CE">
                              <w:rPr>
                                <w:rFonts w:eastAsiaTheme="minorEastAsia"/>
                                <w:bCs/>
                              </w:rPr>
                              <w:t>Nearly every type of gift, from cash to real estate, stock, and other assets, can be donated to a community foundation.</w:t>
                            </w:r>
                            <w:r w:rsidR="004815C7">
                              <w:rPr>
                                <w:rFonts w:ascii="Roboto" w:hAnsi="Roboto"/>
                                <w:color w:val="202124"/>
                                <w:shd w:val="clear" w:color="auto" w:fill="FFFFFF"/>
                                <w:vertAlign w:val="superscript"/>
                              </w:rPr>
                              <w:t>1</w:t>
                            </w:r>
                            <w:r w:rsidR="004815C7">
                              <w:rPr>
                                <w:rFonts w:ascii="Roboto" w:hAnsi="Roboto"/>
                                <w:color w:val="202124"/>
                                <w:shd w:val="clear" w:color="auto" w:fill="FFFFFF"/>
                              </w:rPr>
                              <w:t> </w:t>
                            </w:r>
                          </w:p>
                          <w:p w14:paraId="3F94B96F" w14:textId="77777777" w:rsidR="000D6C0F" w:rsidRDefault="000D6C0F" w:rsidP="000D6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4459C" id="_x0000_s1028" type="#_x0000_t202" style="position:absolute;margin-left:24.5pt;margin-top:64.45pt;width:278pt;height:365.5pt;z-index:251663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" strokecolor="#0b2b48 [3204]" strokeweight="2.25pt">
                <v:textbox>
                  <w:txbxContent>
                    <w:p w14:paraId="7F14C74A" w14:textId="77777777" w:rsidR="000D6C0F" w:rsidRPr="00BC66FC" w:rsidRDefault="000D6C0F" w:rsidP="000D6C0F">
                      <w:pPr>
                        <w:spacing w:after="0" w:line="240" w:lineRule="auto"/>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FACTS ABOUT</w:t>
                      </w:r>
                    </w:p>
                    <w:p w14:paraId="5B2E5FB0" w14:textId="2F6A47EF" w:rsidR="000D6C0F" w:rsidRPr="00BC66FC" w:rsidRDefault="000D6C0F" w:rsidP="000D6C0F">
                      <w:pPr>
                        <w:jc w:val="center"/>
                        <w:rPr>
                          <w:rFonts w:ascii="Lato" w:hAnsi="Lato" w:cstheme="minorHAnsi"/>
                          <w:b/>
                          <w:bCs/>
                          <w:color w:val="CC4F07" w:themeColor="accent2" w:themeShade="BF"/>
                          <w:sz w:val="26"/>
                          <w:szCs w:val="26"/>
                        </w:rPr>
                      </w:pPr>
                      <w:r w:rsidRPr="00BC66FC">
                        <w:rPr>
                          <w:rFonts w:ascii="Lato" w:hAnsi="Lato" w:cstheme="minorHAnsi"/>
                          <w:b/>
                          <w:bCs/>
                          <w:color w:val="CC4F07" w:themeColor="accent2" w:themeShade="BF"/>
                          <w:sz w:val="26"/>
                          <w:szCs w:val="26"/>
                        </w:rPr>
                        <w:t>COMMUNITY FOUNDATIONS</w:t>
                      </w:r>
                    </w:p>
                    <w:p w14:paraId="1B565825" w14:textId="77777777" w:rsidR="000D6C0F" w:rsidRPr="00F21D8D" w:rsidRDefault="000D6C0F" w:rsidP="000D6C0F">
                      <w:pPr>
                        <w:spacing w:after="0" w:line="240" w:lineRule="auto"/>
                        <w:jc w:val="center"/>
                        <w:rPr>
                          <w:rFonts w:ascii="Lato" w:hAnsi="Lato" w:cstheme="minorHAnsi"/>
                          <w:b/>
                          <w:bCs/>
                          <w:color w:val="CC4F07" w:themeColor="accent2" w:themeShade="BF"/>
                          <w:sz w:val="28"/>
                          <w:szCs w:val="28"/>
                        </w:rPr>
                      </w:pPr>
                    </w:p>
                    <w:p w14:paraId="1D19BBE1" w14:textId="77777777" w:rsidR="000D6C0F" w:rsidRPr="001771CE" w:rsidRDefault="000D6C0F" w:rsidP="000D6C0F">
                      <w:pPr>
                        <w:pStyle w:val="ListParagraph"/>
                        <w:numPr>
                          <w:ilvl w:val="0"/>
                          <w:numId w:val="4"/>
                        </w:numPr>
                        <w:rPr>
                          <w:b/>
                        </w:rPr>
                      </w:pPr>
                      <w:r w:rsidRPr="001771CE">
                        <w:t>The first community foundation was created in 1914 in Cleveland, Ohio, and operates now as the Cleveland Foundation.</w:t>
                      </w:r>
                    </w:p>
                    <w:p w14:paraId="7BB4ED56" w14:textId="7D500124" w:rsidR="00DF00BF" w:rsidRPr="001771CE" w:rsidRDefault="00DF00BF" w:rsidP="00DF00BF">
                      <w:pPr>
                        <w:pStyle w:val="ListParagraph"/>
                        <w:numPr>
                          <w:ilvl w:val="0"/>
                          <w:numId w:val="4"/>
                        </w:numPr>
                        <w:spacing w:before="160" w:after="60"/>
                        <w:rPr>
                          <w:rFonts w:eastAsiaTheme="minorEastAsia"/>
                          <w:bCs/>
                        </w:rPr>
                      </w:pPr>
                      <w:r w:rsidRPr="001771CE">
                        <w:rPr>
                          <w:rFonts w:eastAsiaTheme="minorEastAsia"/>
                          <w:bCs/>
                        </w:rPr>
                        <w:t xml:space="preserve">Community foundations play a key role in identifying and solving community problems. Currently, more than </w:t>
                      </w:r>
                      <w:r w:rsidR="00820073">
                        <w:rPr>
                          <w:rFonts w:eastAsiaTheme="minorEastAsia"/>
                          <w:bCs/>
                        </w:rPr>
                        <w:t>900</w:t>
                      </w:r>
                      <w:r w:rsidRPr="001771CE">
                        <w:rPr>
                          <w:rFonts w:eastAsiaTheme="minorEastAsia"/>
                          <w:bCs/>
                        </w:rPr>
                        <w:t xml:space="preserve"> community foundations operate in urban and rural areas in every state in the United States.</w:t>
                      </w:r>
                    </w:p>
                    <w:p w14:paraId="7F497183" w14:textId="30F3FD3A" w:rsidR="000D6C0F" w:rsidRPr="001771CE" w:rsidRDefault="000D6C0F" w:rsidP="000D6C0F">
                      <w:pPr>
                        <w:pStyle w:val="ListParagraph"/>
                        <w:numPr>
                          <w:ilvl w:val="0"/>
                          <w:numId w:val="4"/>
                        </w:numPr>
                        <w:spacing w:before="160" w:after="60"/>
                        <w:rPr>
                          <w:rFonts w:eastAsiaTheme="minorEastAsia"/>
                          <w:b/>
                        </w:rPr>
                      </w:pPr>
                      <w:r w:rsidRPr="001771CE">
                        <w:rPr>
                          <w:rFonts w:eastAsiaTheme="minorEastAsia"/>
                        </w:rPr>
                        <w:t>Every continent but Antarctica has a community foundation</w:t>
                      </w:r>
                      <w:r w:rsidR="00412004">
                        <w:rPr>
                          <w:rFonts w:eastAsiaTheme="minorEastAsia"/>
                        </w:rPr>
                        <w:t xml:space="preserve">. It’s </w:t>
                      </w:r>
                      <w:r w:rsidRPr="001771CE">
                        <w:rPr>
                          <w:rFonts w:eastAsiaTheme="minorEastAsia"/>
                        </w:rPr>
                        <w:t>estimated that there are at least 1,200 community foundations outside of the United States and Canada.</w:t>
                      </w:r>
                    </w:p>
                    <w:p w14:paraId="1F3B0CD8" w14:textId="31B44ACE" w:rsidR="00A227BE" w:rsidRPr="001771CE" w:rsidRDefault="00A227BE" w:rsidP="000D6C0F">
                      <w:pPr>
                        <w:pStyle w:val="ListParagraph"/>
                        <w:numPr>
                          <w:ilvl w:val="0"/>
                          <w:numId w:val="4"/>
                        </w:numPr>
                        <w:spacing w:before="160" w:after="60"/>
                        <w:rPr>
                          <w:rFonts w:eastAsiaTheme="minorEastAsia"/>
                          <w:bCs/>
                        </w:rPr>
                      </w:pPr>
                      <w:r w:rsidRPr="001771CE">
                        <w:rPr>
                          <w:rFonts w:eastAsiaTheme="minorEastAsia"/>
                          <w:bCs/>
                        </w:rPr>
                        <w:t>According to the National Philanthropic Trust's 202</w:t>
                      </w:r>
                      <w:r w:rsidR="00586643">
                        <w:rPr>
                          <w:rFonts w:eastAsiaTheme="minorEastAsia"/>
                          <w:bCs/>
                        </w:rPr>
                        <w:t>2</w:t>
                      </w:r>
                      <w:r w:rsidRPr="001771CE">
                        <w:rPr>
                          <w:rFonts w:eastAsiaTheme="minorEastAsia"/>
                          <w:bCs/>
                        </w:rPr>
                        <w:t xml:space="preserve"> Donor-Advised Fund Report, grantmaking from DAFs to qualified charities totaled more than $</w:t>
                      </w:r>
                      <w:r w:rsidR="00791E5F">
                        <w:rPr>
                          <w:rFonts w:eastAsiaTheme="minorEastAsia"/>
                          <w:bCs/>
                        </w:rPr>
                        <w:t>45.74</w:t>
                      </w:r>
                      <w:r w:rsidRPr="001771CE">
                        <w:rPr>
                          <w:rFonts w:eastAsiaTheme="minorEastAsia"/>
                          <w:bCs/>
                        </w:rPr>
                        <w:t xml:space="preserve"> billion in 20</w:t>
                      </w:r>
                      <w:r w:rsidR="00791E5F">
                        <w:rPr>
                          <w:rFonts w:eastAsiaTheme="minorEastAsia"/>
                          <w:bCs/>
                        </w:rPr>
                        <w:t>21</w:t>
                      </w:r>
                      <w:r w:rsidRPr="001771CE">
                        <w:rPr>
                          <w:rFonts w:eastAsiaTheme="minorEastAsia"/>
                          <w:bCs/>
                        </w:rPr>
                        <w:t xml:space="preserve">, </w:t>
                      </w:r>
                      <w:r w:rsidR="00D400F4">
                        <w:rPr>
                          <w:rFonts w:eastAsiaTheme="minorEastAsia"/>
                          <w:bCs/>
                        </w:rPr>
                        <w:t>and the DAF</w:t>
                      </w:r>
                      <w:r w:rsidR="00753448">
                        <w:rPr>
                          <w:rFonts w:eastAsiaTheme="minorEastAsia"/>
                          <w:bCs/>
                        </w:rPr>
                        <w:t xml:space="preserve"> grant payout rate was the highest on record (27.3%)</w:t>
                      </w:r>
                      <w:r w:rsidR="006821EB">
                        <w:rPr>
                          <w:rFonts w:eastAsiaTheme="minorEastAsia"/>
                          <w:bCs/>
                        </w:rPr>
                        <w:t xml:space="preserve"> in 2021</w:t>
                      </w:r>
                      <w:r w:rsidR="00D07BCA" w:rsidRPr="00D07BCA">
                        <w:rPr>
                          <w:rFonts w:ascii="Lato" w:hAnsi="Lato"/>
                          <w:shd w:val="clear" w:color="auto" w:fill="FFFFFF"/>
                          <w:vertAlign w:val="superscript"/>
                        </w:rPr>
                        <w:t xml:space="preserve"> 1</w:t>
                      </w:r>
                    </w:p>
                    <w:p w14:paraId="57843EA3" w14:textId="542CDCEA" w:rsidR="00470C0D" w:rsidRPr="001771CE" w:rsidRDefault="00470C0D" w:rsidP="000D6C0F">
                      <w:pPr>
                        <w:pStyle w:val="ListParagraph"/>
                        <w:numPr>
                          <w:ilvl w:val="0"/>
                          <w:numId w:val="4"/>
                        </w:numPr>
                        <w:spacing w:before="160" w:after="60"/>
                        <w:rPr>
                          <w:rFonts w:eastAsiaTheme="minorEastAsia"/>
                          <w:bCs/>
                        </w:rPr>
                      </w:pPr>
                      <w:r w:rsidRPr="001771CE">
                        <w:rPr>
                          <w:rFonts w:eastAsiaTheme="minorEastAsia"/>
                          <w:bCs/>
                        </w:rPr>
                        <w:t>Nearly every type of gift, from cash to real estate, stock, and other assets, can be donated to a community foundation.</w:t>
                      </w:r>
                      <w:r w:rsidR="004815C7">
                        <w:rPr>
                          <w:rFonts w:ascii="Roboto" w:hAnsi="Roboto"/>
                          <w:color w:val="202124"/>
                          <w:shd w:val="clear" w:color="auto" w:fill="FFFFFF"/>
                          <w:vertAlign w:val="superscript"/>
                        </w:rPr>
                        <w:t>1</w:t>
                      </w:r>
                      <w:r w:rsidR="004815C7">
                        <w:rPr>
                          <w:rFonts w:ascii="Roboto" w:hAnsi="Roboto"/>
                          <w:color w:val="202124"/>
                          <w:shd w:val="clear" w:color="auto" w:fill="FFFFFF"/>
                        </w:rPr>
                        <w:t> </w:t>
                      </w:r>
                    </w:p>
                    <w:p w14:paraId="3F94B96F" w14:textId="77777777" w:rsidR="000D6C0F" w:rsidRDefault="000D6C0F" w:rsidP="000D6C0F"/>
                  </w:txbxContent>
                </v:textbox>
                <w10:wrap type="square" anchorx="page"/>
              </v:shape>
            </w:pict>
          </mc:Fallback>
        </mc:AlternateContent>
      </w:r>
      <w:r w:rsidR="00687830" w:rsidRPr="00C71ACB">
        <w:rPr>
          <w:rFonts w:ascii="Lato" w:hAnsi="Lato"/>
        </w:rPr>
        <w:t xml:space="preserve">Community Foundation Week, created in 1989 by former President George H.W. Bush, recognizes the important work of community foundations throughout America and their collaborative and innovative approach to working with the public, private, and nonprofit sector. </w:t>
      </w:r>
      <w:r>
        <w:rPr>
          <w:rFonts w:ascii="Lato" w:hAnsi="Lato"/>
        </w:rPr>
        <w:t xml:space="preserve">Community Foundation Week is November 12-18. </w:t>
      </w:r>
    </w:p>
    <w:sectPr w:rsidR="009C36BF" w:rsidRPr="00C71ACB" w:rsidSect="00B9611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0E7C" w14:textId="77777777" w:rsidR="009E3E5C" w:rsidRDefault="009E3E5C" w:rsidP="00C65CA3">
      <w:pPr>
        <w:spacing w:after="0" w:line="240" w:lineRule="auto"/>
      </w:pPr>
      <w:r>
        <w:separator/>
      </w:r>
    </w:p>
  </w:endnote>
  <w:endnote w:type="continuationSeparator" w:id="0">
    <w:p w14:paraId="3DCDCA06" w14:textId="77777777" w:rsidR="009E3E5C" w:rsidRDefault="009E3E5C" w:rsidP="00C6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660B" w14:textId="77777777" w:rsidR="00D17C83" w:rsidRDefault="00D1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AFC1" w14:textId="472DAFDB" w:rsidR="00BC66FC" w:rsidRPr="00BC66FC" w:rsidRDefault="00D07BCA" w:rsidP="00BC66FC">
    <w:pPr>
      <w:spacing w:before="100" w:beforeAutospacing="1" w:after="100" w:afterAutospacing="1" w:line="240" w:lineRule="auto"/>
      <w:ind w:left="567" w:hanging="567"/>
      <w:rPr>
        <w:rFonts w:ascii="Lato" w:eastAsia="Times New Roman" w:hAnsi="Lato" w:cs="Times New Roman"/>
        <w:sz w:val="16"/>
        <w:szCs w:val="16"/>
      </w:rPr>
    </w:pPr>
    <w:r w:rsidRPr="00D07BCA">
      <w:rPr>
        <w:rFonts w:ascii="Lato" w:eastAsia="Times New Roman" w:hAnsi="Lato" w:cs="Times New Roman"/>
        <w:sz w:val="16"/>
        <w:szCs w:val="16"/>
      </w:rPr>
      <w:t xml:space="preserve">1. </w:t>
    </w:r>
    <w:r w:rsidR="00BC66FC" w:rsidRPr="00BC66FC">
      <w:rPr>
        <w:rFonts w:ascii="Lato" w:eastAsia="Times New Roman" w:hAnsi="Lato" w:cs="Times New Roman"/>
        <w:sz w:val="16"/>
        <w:szCs w:val="16"/>
      </w:rPr>
      <w:t>The 202</w:t>
    </w:r>
    <w:r w:rsidR="008746FA">
      <w:rPr>
        <w:rFonts w:ascii="Lato" w:eastAsia="Times New Roman" w:hAnsi="Lato" w:cs="Times New Roman"/>
        <w:sz w:val="16"/>
        <w:szCs w:val="16"/>
      </w:rPr>
      <w:t>2</w:t>
    </w:r>
    <w:r w:rsidR="00BC66FC" w:rsidRPr="00BC66FC">
      <w:rPr>
        <w:rFonts w:ascii="Lato" w:eastAsia="Times New Roman" w:hAnsi="Lato" w:cs="Times New Roman"/>
        <w:sz w:val="16"/>
        <w:szCs w:val="16"/>
      </w:rPr>
      <w:t xml:space="preserve"> </w:t>
    </w:r>
    <w:r w:rsidR="00131DC8">
      <w:rPr>
        <w:rFonts w:ascii="Lato" w:eastAsia="Times New Roman" w:hAnsi="Lato" w:cs="Times New Roman"/>
        <w:sz w:val="16"/>
        <w:szCs w:val="16"/>
      </w:rPr>
      <w:t>DAF</w:t>
    </w:r>
    <w:r w:rsidR="00BC66FC" w:rsidRPr="00BC66FC">
      <w:rPr>
        <w:rFonts w:ascii="Lato" w:eastAsia="Times New Roman" w:hAnsi="Lato" w:cs="Times New Roman"/>
        <w:sz w:val="16"/>
        <w:szCs w:val="16"/>
      </w:rPr>
      <w:t xml:space="preserve"> report. NPTrust. (202</w:t>
    </w:r>
    <w:r w:rsidR="00131DC8">
      <w:rPr>
        <w:rFonts w:ascii="Lato" w:eastAsia="Times New Roman" w:hAnsi="Lato" w:cs="Times New Roman"/>
        <w:sz w:val="16"/>
        <w:szCs w:val="16"/>
      </w:rPr>
      <w:t>2</w:t>
    </w:r>
    <w:r w:rsidR="00BC66FC" w:rsidRPr="00BC66FC">
      <w:rPr>
        <w:rFonts w:ascii="Lato" w:eastAsia="Times New Roman" w:hAnsi="Lato" w:cs="Times New Roman"/>
        <w:sz w:val="16"/>
        <w:szCs w:val="16"/>
      </w:rPr>
      <w:t xml:space="preserve">, </w:t>
    </w:r>
    <w:r w:rsidR="00131DC8">
      <w:rPr>
        <w:rFonts w:ascii="Lato" w:eastAsia="Times New Roman" w:hAnsi="Lato" w:cs="Times New Roman"/>
        <w:sz w:val="16"/>
        <w:szCs w:val="16"/>
      </w:rPr>
      <w:t>November</w:t>
    </w:r>
    <w:r w:rsidR="00BC66FC" w:rsidRPr="00BC66FC">
      <w:rPr>
        <w:rFonts w:ascii="Lato" w:eastAsia="Times New Roman" w:hAnsi="Lato" w:cs="Times New Roman"/>
        <w:sz w:val="16"/>
        <w:szCs w:val="16"/>
      </w:rPr>
      <w:t xml:space="preserve"> 1</w:t>
    </w:r>
    <w:r w:rsidR="00131DC8">
      <w:rPr>
        <w:rFonts w:ascii="Lato" w:eastAsia="Times New Roman" w:hAnsi="Lato" w:cs="Times New Roman"/>
        <w:sz w:val="16"/>
        <w:szCs w:val="16"/>
      </w:rPr>
      <w:t>5</w:t>
    </w:r>
    <w:r w:rsidR="00BC66FC" w:rsidRPr="00BC66FC">
      <w:rPr>
        <w:rFonts w:ascii="Lato" w:eastAsia="Times New Roman" w:hAnsi="Lato" w:cs="Times New Roman"/>
        <w:sz w:val="16"/>
        <w:szCs w:val="16"/>
      </w:rPr>
      <w:t xml:space="preserve">). Retrieved October </w:t>
    </w:r>
    <w:r w:rsidR="00131DC8">
      <w:rPr>
        <w:rFonts w:ascii="Lato" w:eastAsia="Times New Roman" w:hAnsi="Lato" w:cs="Times New Roman"/>
        <w:sz w:val="16"/>
        <w:szCs w:val="16"/>
      </w:rPr>
      <w:t>18</w:t>
    </w:r>
    <w:r w:rsidR="00BC66FC" w:rsidRPr="00BC66FC">
      <w:rPr>
        <w:rFonts w:ascii="Lato" w:eastAsia="Times New Roman" w:hAnsi="Lato" w:cs="Times New Roman"/>
        <w:sz w:val="16"/>
        <w:szCs w:val="16"/>
      </w:rPr>
      <w:t>, 202</w:t>
    </w:r>
    <w:r w:rsidR="00131DC8">
      <w:rPr>
        <w:rFonts w:ascii="Lato" w:eastAsia="Times New Roman" w:hAnsi="Lato" w:cs="Times New Roman"/>
        <w:sz w:val="16"/>
        <w:szCs w:val="16"/>
      </w:rPr>
      <w:t>3</w:t>
    </w:r>
    <w:r w:rsidR="00BC66FC" w:rsidRPr="00BC66FC">
      <w:rPr>
        <w:rFonts w:ascii="Lato" w:eastAsia="Times New Roman" w:hAnsi="Lato" w:cs="Times New Roman"/>
        <w:sz w:val="16"/>
        <w:szCs w:val="16"/>
      </w:rPr>
      <w:t xml:space="preserve">, from </w:t>
    </w:r>
    <w:r w:rsidR="00D17C83" w:rsidRPr="00D17C83">
      <w:rPr>
        <w:rFonts w:ascii="Lato" w:eastAsia="Times New Roman" w:hAnsi="Lato" w:cs="Times New Roman"/>
        <w:sz w:val="16"/>
        <w:szCs w:val="16"/>
      </w:rPr>
      <w:t>https://www.nptrust.org/reports/daf-report/</w:t>
    </w:r>
  </w:p>
  <w:p w14:paraId="6D790ACF" w14:textId="77777777" w:rsidR="00BC66FC" w:rsidRDefault="00BC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2976" w14:textId="77777777" w:rsidR="00D17C83" w:rsidRDefault="00D1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4C51" w14:textId="77777777" w:rsidR="009E3E5C" w:rsidRDefault="009E3E5C" w:rsidP="00C65CA3">
      <w:pPr>
        <w:spacing w:after="0" w:line="240" w:lineRule="auto"/>
      </w:pPr>
      <w:r>
        <w:separator/>
      </w:r>
    </w:p>
  </w:footnote>
  <w:footnote w:type="continuationSeparator" w:id="0">
    <w:p w14:paraId="07C731B4" w14:textId="77777777" w:rsidR="009E3E5C" w:rsidRDefault="009E3E5C" w:rsidP="00C6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E213" w14:textId="77777777" w:rsidR="00D17C83" w:rsidRDefault="00D1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63CD" w14:textId="77777777" w:rsidR="00D17C83" w:rsidRDefault="00D17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8B49" w14:textId="77777777" w:rsidR="00D17C83" w:rsidRDefault="00D1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533B"/>
    <w:multiLevelType w:val="hybridMultilevel"/>
    <w:tmpl w:val="6860B4A8"/>
    <w:lvl w:ilvl="0" w:tplc="09184F36">
      <w:start w:val="1"/>
      <w:numFmt w:val="bullet"/>
      <w:lvlText w:val=""/>
      <w:lvlJc w:val="left"/>
      <w:pPr>
        <w:ind w:left="720" w:hanging="360"/>
      </w:pPr>
      <w:rPr>
        <w:rFonts w:ascii="Symbol" w:hAnsi="Symbol" w:hint="default"/>
        <w:color w:val="CC4F07"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D7CD8"/>
    <w:multiLevelType w:val="hybridMultilevel"/>
    <w:tmpl w:val="D23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C14DA"/>
    <w:multiLevelType w:val="hybridMultilevel"/>
    <w:tmpl w:val="5B2E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B60DC"/>
    <w:multiLevelType w:val="hybridMultilevel"/>
    <w:tmpl w:val="5FEA0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1000062">
    <w:abstractNumId w:val="2"/>
  </w:num>
  <w:num w:numId="2" w16cid:durableId="1258516980">
    <w:abstractNumId w:val="3"/>
  </w:num>
  <w:num w:numId="3" w16cid:durableId="1321537555">
    <w:abstractNumId w:val="1"/>
  </w:num>
  <w:num w:numId="4" w16cid:durableId="194217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68"/>
    <w:rsid w:val="00003159"/>
    <w:rsid w:val="00037D42"/>
    <w:rsid w:val="00047C04"/>
    <w:rsid w:val="0008349A"/>
    <w:rsid w:val="000A4608"/>
    <w:rsid w:val="000B36CD"/>
    <w:rsid w:val="000B5A13"/>
    <w:rsid w:val="000B6EBA"/>
    <w:rsid w:val="000C5E9B"/>
    <w:rsid w:val="000D6C0F"/>
    <w:rsid w:val="000E0604"/>
    <w:rsid w:val="001023B4"/>
    <w:rsid w:val="00112592"/>
    <w:rsid w:val="001171C7"/>
    <w:rsid w:val="00131DC8"/>
    <w:rsid w:val="00133E47"/>
    <w:rsid w:val="00136A2B"/>
    <w:rsid w:val="0015178C"/>
    <w:rsid w:val="00172EC4"/>
    <w:rsid w:val="001771CE"/>
    <w:rsid w:val="0018742E"/>
    <w:rsid w:val="001A1F36"/>
    <w:rsid w:val="001A6F57"/>
    <w:rsid w:val="001B636A"/>
    <w:rsid w:val="001D3A21"/>
    <w:rsid w:val="00205B65"/>
    <w:rsid w:val="00227669"/>
    <w:rsid w:val="00245D96"/>
    <w:rsid w:val="002462A3"/>
    <w:rsid w:val="002542A9"/>
    <w:rsid w:val="002647A8"/>
    <w:rsid w:val="00280914"/>
    <w:rsid w:val="002823D0"/>
    <w:rsid w:val="002A3AD2"/>
    <w:rsid w:val="002C1303"/>
    <w:rsid w:val="002C145D"/>
    <w:rsid w:val="002C3FA5"/>
    <w:rsid w:val="002E6693"/>
    <w:rsid w:val="002E7B2E"/>
    <w:rsid w:val="002F66AF"/>
    <w:rsid w:val="002F7D71"/>
    <w:rsid w:val="00300CF8"/>
    <w:rsid w:val="00317168"/>
    <w:rsid w:val="00331671"/>
    <w:rsid w:val="00340E77"/>
    <w:rsid w:val="00341809"/>
    <w:rsid w:val="003816D1"/>
    <w:rsid w:val="003840CA"/>
    <w:rsid w:val="00387F97"/>
    <w:rsid w:val="00397387"/>
    <w:rsid w:val="003C183A"/>
    <w:rsid w:val="003C4236"/>
    <w:rsid w:val="003C5309"/>
    <w:rsid w:val="003D0DA1"/>
    <w:rsid w:val="003D37A2"/>
    <w:rsid w:val="003D666D"/>
    <w:rsid w:val="00412004"/>
    <w:rsid w:val="0043717E"/>
    <w:rsid w:val="00470C0D"/>
    <w:rsid w:val="004815C7"/>
    <w:rsid w:val="004A0C06"/>
    <w:rsid w:val="004A4715"/>
    <w:rsid w:val="004A4C72"/>
    <w:rsid w:val="004D3530"/>
    <w:rsid w:val="0052036C"/>
    <w:rsid w:val="00545DA2"/>
    <w:rsid w:val="00552DEB"/>
    <w:rsid w:val="00557369"/>
    <w:rsid w:val="00586643"/>
    <w:rsid w:val="005A1726"/>
    <w:rsid w:val="005A66D0"/>
    <w:rsid w:val="005C202C"/>
    <w:rsid w:val="005C784F"/>
    <w:rsid w:val="005E00DA"/>
    <w:rsid w:val="006077F5"/>
    <w:rsid w:val="00632C3B"/>
    <w:rsid w:val="00642F52"/>
    <w:rsid w:val="006447BE"/>
    <w:rsid w:val="006447D9"/>
    <w:rsid w:val="00651A5C"/>
    <w:rsid w:val="00654D19"/>
    <w:rsid w:val="00657F72"/>
    <w:rsid w:val="006666F0"/>
    <w:rsid w:val="00666B79"/>
    <w:rsid w:val="006821EB"/>
    <w:rsid w:val="00686BC0"/>
    <w:rsid w:val="00687830"/>
    <w:rsid w:val="006A15C7"/>
    <w:rsid w:val="006A461E"/>
    <w:rsid w:val="006A74C5"/>
    <w:rsid w:val="006C76AB"/>
    <w:rsid w:val="00716DEA"/>
    <w:rsid w:val="00721ADA"/>
    <w:rsid w:val="00722BA0"/>
    <w:rsid w:val="00753448"/>
    <w:rsid w:val="0076737F"/>
    <w:rsid w:val="00780621"/>
    <w:rsid w:val="00791E5F"/>
    <w:rsid w:val="007A5E18"/>
    <w:rsid w:val="007B781F"/>
    <w:rsid w:val="007D12C7"/>
    <w:rsid w:val="00803BB1"/>
    <w:rsid w:val="00820073"/>
    <w:rsid w:val="00834EC8"/>
    <w:rsid w:val="008544B3"/>
    <w:rsid w:val="00855C79"/>
    <w:rsid w:val="008746FA"/>
    <w:rsid w:val="008A1123"/>
    <w:rsid w:val="008B6779"/>
    <w:rsid w:val="008D5F48"/>
    <w:rsid w:val="008E512B"/>
    <w:rsid w:val="00904C76"/>
    <w:rsid w:val="00905878"/>
    <w:rsid w:val="00907BFF"/>
    <w:rsid w:val="009126BE"/>
    <w:rsid w:val="0094280C"/>
    <w:rsid w:val="00943D6F"/>
    <w:rsid w:val="00956D97"/>
    <w:rsid w:val="009811E0"/>
    <w:rsid w:val="00984D19"/>
    <w:rsid w:val="00990AB9"/>
    <w:rsid w:val="009968ED"/>
    <w:rsid w:val="009A182C"/>
    <w:rsid w:val="009A182D"/>
    <w:rsid w:val="009A5B92"/>
    <w:rsid w:val="009C36BF"/>
    <w:rsid w:val="009D1124"/>
    <w:rsid w:val="009E3E5C"/>
    <w:rsid w:val="00A162B0"/>
    <w:rsid w:val="00A227BE"/>
    <w:rsid w:val="00A310D7"/>
    <w:rsid w:val="00A36866"/>
    <w:rsid w:val="00A60E4E"/>
    <w:rsid w:val="00A774D1"/>
    <w:rsid w:val="00A84670"/>
    <w:rsid w:val="00A95539"/>
    <w:rsid w:val="00AA6E59"/>
    <w:rsid w:val="00AB0639"/>
    <w:rsid w:val="00AB58D8"/>
    <w:rsid w:val="00AE613F"/>
    <w:rsid w:val="00AE7610"/>
    <w:rsid w:val="00AF1D6B"/>
    <w:rsid w:val="00AF36CF"/>
    <w:rsid w:val="00AF5398"/>
    <w:rsid w:val="00B10D61"/>
    <w:rsid w:val="00B42D38"/>
    <w:rsid w:val="00B46E02"/>
    <w:rsid w:val="00B51204"/>
    <w:rsid w:val="00B721DE"/>
    <w:rsid w:val="00B96118"/>
    <w:rsid w:val="00BC66FC"/>
    <w:rsid w:val="00BE1E5A"/>
    <w:rsid w:val="00C146B8"/>
    <w:rsid w:val="00C3294E"/>
    <w:rsid w:val="00C37796"/>
    <w:rsid w:val="00C45E8B"/>
    <w:rsid w:val="00C55090"/>
    <w:rsid w:val="00C62A3B"/>
    <w:rsid w:val="00C65CA3"/>
    <w:rsid w:val="00C71ACB"/>
    <w:rsid w:val="00C84D07"/>
    <w:rsid w:val="00CD3D87"/>
    <w:rsid w:val="00CD5FBA"/>
    <w:rsid w:val="00CE1268"/>
    <w:rsid w:val="00CE6497"/>
    <w:rsid w:val="00CF6F8E"/>
    <w:rsid w:val="00D0218F"/>
    <w:rsid w:val="00D07BCA"/>
    <w:rsid w:val="00D12544"/>
    <w:rsid w:val="00D17C83"/>
    <w:rsid w:val="00D354CC"/>
    <w:rsid w:val="00D400F4"/>
    <w:rsid w:val="00D4689B"/>
    <w:rsid w:val="00D46CA6"/>
    <w:rsid w:val="00D7590D"/>
    <w:rsid w:val="00D75FC4"/>
    <w:rsid w:val="00D97030"/>
    <w:rsid w:val="00DA26B6"/>
    <w:rsid w:val="00DB0D26"/>
    <w:rsid w:val="00DD0731"/>
    <w:rsid w:val="00DF00BF"/>
    <w:rsid w:val="00E30EFD"/>
    <w:rsid w:val="00E43AF9"/>
    <w:rsid w:val="00E46EA4"/>
    <w:rsid w:val="00E47A79"/>
    <w:rsid w:val="00E511D9"/>
    <w:rsid w:val="00E5655C"/>
    <w:rsid w:val="00E56D2E"/>
    <w:rsid w:val="00E62928"/>
    <w:rsid w:val="00E95616"/>
    <w:rsid w:val="00E96766"/>
    <w:rsid w:val="00E97454"/>
    <w:rsid w:val="00E97AD0"/>
    <w:rsid w:val="00EC7834"/>
    <w:rsid w:val="00EE4347"/>
    <w:rsid w:val="00EE6594"/>
    <w:rsid w:val="00EF6368"/>
    <w:rsid w:val="00F14137"/>
    <w:rsid w:val="00F21D8D"/>
    <w:rsid w:val="00F3010C"/>
    <w:rsid w:val="00F32F4C"/>
    <w:rsid w:val="00F3439B"/>
    <w:rsid w:val="00F47DF3"/>
    <w:rsid w:val="00F72156"/>
    <w:rsid w:val="00F82360"/>
    <w:rsid w:val="00FA1316"/>
    <w:rsid w:val="00FB0514"/>
    <w:rsid w:val="00FD091F"/>
    <w:rsid w:val="00FD5E66"/>
    <w:rsid w:val="7449D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CC85"/>
  <w15:chartTrackingRefBased/>
  <w15:docId w15:val="{82853D39-071E-443B-A724-1E297318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2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1268"/>
    <w:pPr>
      <w:ind w:left="720"/>
      <w:contextualSpacing/>
    </w:pPr>
  </w:style>
  <w:style w:type="character" w:styleId="CommentReference">
    <w:name w:val="annotation reference"/>
    <w:basedOn w:val="DefaultParagraphFont"/>
    <w:uiPriority w:val="99"/>
    <w:semiHidden/>
    <w:unhideWhenUsed/>
    <w:rsid w:val="005C784F"/>
    <w:rPr>
      <w:sz w:val="16"/>
      <w:szCs w:val="16"/>
    </w:rPr>
  </w:style>
  <w:style w:type="paragraph" w:styleId="CommentText">
    <w:name w:val="annotation text"/>
    <w:basedOn w:val="Normal"/>
    <w:link w:val="CommentTextChar"/>
    <w:uiPriority w:val="99"/>
    <w:semiHidden/>
    <w:unhideWhenUsed/>
    <w:rsid w:val="005C784F"/>
    <w:pPr>
      <w:spacing w:line="240" w:lineRule="auto"/>
    </w:pPr>
    <w:rPr>
      <w:sz w:val="20"/>
      <w:szCs w:val="20"/>
    </w:rPr>
  </w:style>
  <w:style w:type="character" w:customStyle="1" w:styleId="CommentTextChar">
    <w:name w:val="Comment Text Char"/>
    <w:basedOn w:val="DefaultParagraphFont"/>
    <w:link w:val="CommentText"/>
    <w:uiPriority w:val="99"/>
    <w:semiHidden/>
    <w:rsid w:val="005C784F"/>
    <w:rPr>
      <w:sz w:val="20"/>
      <w:szCs w:val="20"/>
    </w:rPr>
  </w:style>
  <w:style w:type="paragraph" w:styleId="CommentSubject">
    <w:name w:val="annotation subject"/>
    <w:basedOn w:val="CommentText"/>
    <w:next w:val="CommentText"/>
    <w:link w:val="CommentSubjectChar"/>
    <w:uiPriority w:val="99"/>
    <w:semiHidden/>
    <w:unhideWhenUsed/>
    <w:rsid w:val="005C784F"/>
    <w:rPr>
      <w:b/>
      <w:bCs/>
    </w:rPr>
  </w:style>
  <w:style w:type="character" w:customStyle="1" w:styleId="CommentSubjectChar">
    <w:name w:val="Comment Subject Char"/>
    <w:basedOn w:val="CommentTextChar"/>
    <w:link w:val="CommentSubject"/>
    <w:uiPriority w:val="99"/>
    <w:semiHidden/>
    <w:rsid w:val="005C784F"/>
    <w:rPr>
      <w:b/>
      <w:bCs/>
      <w:sz w:val="20"/>
      <w:szCs w:val="20"/>
    </w:rPr>
  </w:style>
  <w:style w:type="paragraph" w:styleId="BalloonText">
    <w:name w:val="Balloon Text"/>
    <w:basedOn w:val="Normal"/>
    <w:link w:val="BalloonTextChar"/>
    <w:uiPriority w:val="99"/>
    <w:semiHidden/>
    <w:unhideWhenUsed/>
    <w:rsid w:val="005C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4F"/>
    <w:rPr>
      <w:rFonts w:ascii="Segoe UI" w:hAnsi="Segoe UI" w:cs="Segoe UI"/>
      <w:sz w:val="18"/>
      <w:szCs w:val="18"/>
    </w:rPr>
  </w:style>
  <w:style w:type="paragraph" w:styleId="NoSpacing">
    <w:name w:val="No Spacing"/>
    <w:link w:val="NoSpacingChar"/>
    <w:uiPriority w:val="1"/>
    <w:qFormat/>
    <w:rsid w:val="00EF6368"/>
    <w:pPr>
      <w:spacing w:after="0" w:line="240" w:lineRule="auto"/>
    </w:pPr>
    <w:rPr>
      <w:rFonts w:eastAsiaTheme="minorEastAsia"/>
    </w:rPr>
  </w:style>
  <w:style w:type="character" w:customStyle="1" w:styleId="NoSpacingChar">
    <w:name w:val="No Spacing Char"/>
    <w:basedOn w:val="DefaultParagraphFont"/>
    <w:link w:val="NoSpacing"/>
    <w:uiPriority w:val="1"/>
    <w:rsid w:val="00EF6368"/>
    <w:rPr>
      <w:rFonts w:eastAsiaTheme="minorEastAsia"/>
    </w:rPr>
  </w:style>
  <w:style w:type="table" w:styleId="TableGrid">
    <w:name w:val="Table Grid"/>
    <w:basedOn w:val="TableNormal"/>
    <w:uiPriority w:val="39"/>
    <w:rsid w:val="0033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4A0C06"/>
    <w:pPr>
      <w:spacing w:after="0" w:line="240" w:lineRule="auto"/>
    </w:pPr>
    <w:tblPr>
      <w:tblStyleRowBandSize w:val="1"/>
      <w:tblStyleColBandSize w:val="1"/>
      <w:tblBorders>
        <w:top w:val="single" w:sz="2" w:space="0" w:color="FAA97B" w:themeColor="accent2" w:themeTint="99"/>
        <w:bottom w:val="single" w:sz="2" w:space="0" w:color="FAA97B" w:themeColor="accent2" w:themeTint="99"/>
        <w:insideH w:val="single" w:sz="2" w:space="0" w:color="FAA97B" w:themeColor="accent2" w:themeTint="99"/>
        <w:insideV w:val="single" w:sz="2" w:space="0" w:color="FAA97B" w:themeColor="accent2" w:themeTint="99"/>
      </w:tblBorders>
    </w:tblPr>
    <w:tblStylePr w:type="firstRow">
      <w:rPr>
        <w:b/>
        <w:bCs/>
      </w:rPr>
      <w:tblPr/>
      <w:tcPr>
        <w:tcBorders>
          <w:top w:val="nil"/>
          <w:bottom w:val="single" w:sz="12" w:space="0" w:color="FAA97B" w:themeColor="accent2" w:themeTint="99"/>
          <w:insideH w:val="nil"/>
          <w:insideV w:val="nil"/>
        </w:tcBorders>
        <w:shd w:val="clear" w:color="auto" w:fill="FFFFFF" w:themeFill="background1"/>
      </w:tcPr>
    </w:tblStylePr>
    <w:tblStylePr w:type="lastRow">
      <w:rPr>
        <w:b/>
        <w:bCs/>
      </w:rPr>
      <w:tblPr/>
      <w:tcPr>
        <w:tcBorders>
          <w:top w:val="double" w:sz="2" w:space="0" w:color="FAA97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DE2D2" w:themeFill="accent2" w:themeFillTint="33"/>
      </w:tcPr>
    </w:tblStylePr>
  </w:style>
  <w:style w:type="table" w:styleId="GridTable3-Accent2">
    <w:name w:val="Grid Table 3 Accent 2"/>
    <w:basedOn w:val="TableNormal"/>
    <w:uiPriority w:val="48"/>
    <w:rsid w:val="007A5E18"/>
    <w:pPr>
      <w:spacing w:after="0" w:line="240" w:lineRule="auto"/>
    </w:pPr>
    <w:tblPr>
      <w:tblStyleRowBandSize w:val="1"/>
      <w:tblStyleColBandSize w:val="1"/>
      <w:tblBorders>
        <w:top w:val="single" w:sz="4" w:space="0" w:color="FAA97B" w:themeColor="accent2" w:themeTint="99"/>
        <w:left w:val="single" w:sz="4" w:space="0" w:color="FAA97B" w:themeColor="accent2" w:themeTint="99"/>
        <w:bottom w:val="single" w:sz="4" w:space="0" w:color="FAA97B" w:themeColor="accent2" w:themeTint="99"/>
        <w:right w:val="single" w:sz="4" w:space="0" w:color="FAA97B" w:themeColor="accent2" w:themeTint="99"/>
        <w:insideH w:val="single" w:sz="4" w:space="0" w:color="FAA97B" w:themeColor="accent2" w:themeTint="99"/>
        <w:insideV w:val="single" w:sz="4" w:space="0" w:color="FAA9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2D2" w:themeFill="accent2" w:themeFillTint="33"/>
      </w:tcPr>
    </w:tblStylePr>
    <w:tblStylePr w:type="band1Horz">
      <w:tblPr/>
      <w:tcPr>
        <w:shd w:val="clear" w:color="auto" w:fill="FDE2D2" w:themeFill="accent2" w:themeFillTint="33"/>
      </w:tcPr>
    </w:tblStylePr>
    <w:tblStylePr w:type="neCell">
      <w:tblPr/>
      <w:tcPr>
        <w:tcBorders>
          <w:bottom w:val="single" w:sz="4" w:space="0" w:color="FAA97B" w:themeColor="accent2" w:themeTint="99"/>
        </w:tcBorders>
      </w:tcPr>
    </w:tblStylePr>
    <w:tblStylePr w:type="nwCell">
      <w:tblPr/>
      <w:tcPr>
        <w:tcBorders>
          <w:bottom w:val="single" w:sz="4" w:space="0" w:color="FAA97B" w:themeColor="accent2" w:themeTint="99"/>
        </w:tcBorders>
      </w:tcPr>
    </w:tblStylePr>
    <w:tblStylePr w:type="seCell">
      <w:tblPr/>
      <w:tcPr>
        <w:tcBorders>
          <w:top w:val="single" w:sz="4" w:space="0" w:color="FAA97B" w:themeColor="accent2" w:themeTint="99"/>
        </w:tcBorders>
      </w:tcPr>
    </w:tblStylePr>
    <w:tblStylePr w:type="swCell">
      <w:tblPr/>
      <w:tcPr>
        <w:tcBorders>
          <w:top w:val="single" w:sz="4" w:space="0" w:color="FAA97B" w:themeColor="accent2" w:themeTint="99"/>
        </w:tcBorders>
      </w:tcPr>
    </w:tblStylePr>
  </w:style>
  <w:style w:type="paragraph" w:styleId="Header">
    <w:name w:val="header"/>
    <w:basedOn w:val="Normal"/>
    <w:link w:val="HeaderChar"/>
    <w:uiPriority w:val="99"/>
    <w:unhideWhenUsed/>
    <w:rsid w:val="00C6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A3"/>
  </w:style>
  <w:style w:type="paragraph" w:styleId="Footer">
    <w:name w:val="footer"/>
    <w:basedOn w:val="Normal"/>
    <w:link w:val="FooterChar"/>
    <w:uiPriority w:val="99"/>
    <w:unhideWhenUsed/>
    <w:rsid w:val="00C6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A3"/>
  </w:style>
  <w:style w:type="character" w:styleId="UnresolvedMention">
    <w:name w:val="Unresolved Mention"/>
    <w:basedOn w:val="DefaultParagraphFont"/>
    <w:uiPriority w:val="99"/>
    <w:unhideWhenUsed/>
    <w:rsid w:val="001A1F36"/>
    <w:rPr>
      <w:color w:val="605E5C"/>
      <w:shd w:val="clear" w:color="auto" w:fill="E1DFDD"/>
    </w:rPr>
  </w:style>
  <w:style w:type="character" w:styleId="Mention">
    <w:name w:val="Mention"/>
    <w:basedOn w:val="DefaultParagraphFont"/>
    <w:uiPriority w:val="99"/>
    <w:unhideWhenUsed/>
    <w:rsid w:val="001A1F36"/>
    <w:rPr>
      <w:color w:val="2B579A"/>
      <w:shd w:val="clear" w:color="auto" w:fill="E1DFDD"/>
    </w:rPr>
  </w:style>
  <w:style w:type="character" w:styleId="Emphasis">
    <w:name w:val="Emphasis"/>
    <w:basedOn w:val="DefaultParagraphFont"/>
    <w:uiPriority w:val="20"/>
    <w:qFormat/>
    <w:rsid w:val="00B46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99180">
      <w:bodyDiv w:val="1"/>
      <w:marLeft w:val="0"/>
      <w:marRight w:val="0"/>
      <w:marTop w:val="0"/>
      <w:marBottom w:val="0"/>
      <w:divBdr>
        <w:top w:val="none" w:sz="0" w:space="0" w:color="auto"/>
        <w:left w:val="none" w:sz="0" w:space="0" w:color="auto"/>
        <w:bottom w:val="none" w:sz="0" w:space="0" w:color="auto"/>
        <w:right w:val="none" w:sz="0" w:space="0" w:color="auto"/>
      </w:divBdr>
    </w:div>
    <w:div w:id="1635938604">
      <w:bodyDiv w:val="1"/>
      <w:marLeft w:val="0"/>
      <w:marRight w:val="0"/>
      <w:marTop w:val="0"/>
      <w:marBottom w:val="0"/>
      <w:divBdr>
        <w:top w:val="none" w:sz="0" w:space="0" w:color="auto"/>
        <w:left w:val="none" w:sz="0" w:space="0" w:color="auto"/>
        <w:bottom w:val="none" w:sz="0" w:space="0" w:color="auto"/>
        <w:right w:val="none" w:sz="0" w:space="0" w:color="auto"/>
      </w:divBdr>
    </w:div>
    <w:div w:id="16901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uncil colors">
      <a:dk1>
        <a:sysClr val="windowText" lastClr="000000"/>
      </a:dk1>
      <a:lt1>
        <a:sysClr val="window" lastClr="FFFFFF"/>
      </a:lt1>
      <a:dk2>
        <a:srgbClr val="44546A"/>
      </a:dk2>
      <a:lt2>
        <a:srgbClr val="E7E6E6"/>
      </a:lt2>
      <a:accent1>
        <a:srgbClr val="0B2B48"/>
      </a:accent1>
      <a:accent2>
        <a:srgbClr val="F77124"/>
      </a:accent2>
      <a:accent3>
        <a:srgbClr val="A2C53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EF45760EC6F4D932CA5D8AEFE58A8" ma:contentTypeVersion="12" ma:contentTypeDescription="Create a new document." ma:contentTypeScope="" ma:versionID="f34b8b54db4cd94c0a364a1931cf4ba3">
  <xsd:schema xmlns:xsd="http://www.w3.org/2001/XMLSchema" xmlns:xs="http://www.w3.org/2001/XMLSchema" xmlns:p="http://schemas.microsoft.com/office/2006/metadata/properties" xmlns:ns2="4530f49a-e433-4121-8bf9-e84de17dde66" xmlns:ns3="dee1ad15-ba2a-4846-a913-ea73abc290c1" targetNamespace="http://schemas.microsoft.com/office/2006/metadata/properties" ma:root="true" ma:fieldsID="90712666f41559cbd09eeb7694f63aac" ns2:_="" ns3:_="">
    <xsd:import namespace="4530f49a-e433-4121-8bf9-e84de17dde66"/>
    <xsd:import namespace="dee1ad15-ba2a-4846-a913-ea73abc29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f49a-e433-4121-8bf9-e84de17dd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1ad15-ba2a-4846-a913-ea73abc290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BBD5D-3EB1-432C-B387-D419AB7F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f49a-e433-4121-8bf9-e84de17dde66"/>
    <ds:schemaRef ds:uri="dee1ad15-ba2a-4846-a913-ea73abc2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553F5-BEC9-4F8B-A08B-8506E2D89C57}">
  <ds:schemaRefs>
    <ds:schemaRef ds:uri="http://schemas.microsoft.com/office/2006/metadata/properties"/>
    <ds:schemaRef ds:uri="dee1ad15-ba2a-4846-a913-ea73abc290c1"/>
    <ds:schemaRef ds:uri="http://purl.org/dc/elements/1.1/"/>
    <ds:schemaRef ds:uri="http://schemas.microsoft.com/office/2006/documentManagement/types"/>
    <ds:schemaRef ds:uri="4530f49a-e433-4121-8bf9-e84de17dde66"/>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AD534AB-316C-422C-B6C3-D2DA581A9C14}">
  <ds:schemaRefs>
    <ds:schemaRef ds:uri="http://schemas.openxmlformats.org/officeDocument/2006/bibliography"/>
  </ds:schemaRefs>
</ds:datastoreItem>
</file>

<file path=customXml/itemProps4.xml><?xml version="1.0" encoding="utf-8"?>
<ds:datastoreItem xmlns:ds="http://schemas.openxmlformats.org/officeDocument/2006/customXml" ds:itemID="{6A4A6CF3-D136-4ED7-97B0-812CFF940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592</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Judson;Codi Morton</dc:creator>
  <cp:keywords/>
  <dc:description/>
  <cp:lastModifiedBy>Stacey Moore</cp:lastModifiedBy>
  <cp:revision>2</cp:revision>
  <cp:lastPrinted>2019-10-22T16:13:00Z</cp:lastPrinted>
  <dcterms:created xsi:type="dcterms:W3CDTF">2024-10-07T20:17:00Z</dcterms:created>
  <dcterms:modified xsi:type="dcterms:W3CDTF">2024-10-07T20:17:00Z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0x0101007A5EF45760EC6F4D932CA5D8AEFE58A8</vt:lpwstr>
  </property>
</Properties>
</file>